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П Р О Е К Т Н А Я   Д Е К Л А Р А Ц И Я </w:t>
      </w:r>
    </w:p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опубликованная в </w:t>
      </w:r>
      <w:r w:rsidRPr="00534D6A">
        <w:rPr>
          <w:rFonts w:ascii="Arial" w:eastAsia="Times New Roman" w:hAnsi="Arial" w:cs="Arial"/>
          <w:color w:val="444444"/>
          <w:sz w:val="16"/>
          <w:szCs w:val="16"/>
          <w:lang w:val="en-US" w:eastAsia="ru-RU"/>
        </w:rPr>
        <w:t>Internet</w:t>
      </w: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  29.01.2013 года на </w:t>
      </w:r>
      <w:r w:rsidRPr="00534D6A">
        <w:rPr>
          <w:rFonts w:ascii="Arial" w:eastAsia="Times New Roman" w:hAnsi="Arial" w:cs="Arial"/>
          <w:color w:val="444444"/>
          <w:sz w:val="16"/>
          <w:szCs w:val="16"/>
          <w:lang w:val="en-US" w:eastAsia="ru-RU"/>
        </w:rPr>
        <w:t>http</w:t>
      </w: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//</w:t>
      </w:r>
      <w:r w:rsidRPr="00534D6A">
        <w:rPr>
          <w:rFonts w:ascii="Arial" w:eastAsia="Times New Roman" w:hAnsi="Arial" w:cs="Arial"/>
          <w:color w:val="444444"/>
          <w:sz w:val="16"/>
          <w:szCs w:val="16"/>
          <w:lang w:val="en-US" w:eastAsia="ru-RU"/>
        </w:rPr>
        <w:t>ooodelta</w:t>
      </w: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.</w:t>
      </w:r>
      <w:r w:rsidRPr="00534D6A">
        <w:rPr>
          <w:rFonts w:ascii="Arial" w:eastAsia="Times New Roman" w:hAnsi="Arial" w:cs="Arial"/>
          <w:color w:val="444444"/>
          <w:sz w:val="16"/>
          <w:szCs w:val="16"/>
          <w:lang w:val="en-US" w:eastAsia="ru-RU"/>
        </w:rPr>
        <w:t>sitecity</w:t>
      </w: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.</w:t>
      </w:r>
      <w:r w:rsidRPr="00534D6A">
        <w:rPr>
          <w:rFonts w:ascii="Arial" w:eastAsia="Times New Roman" w:hAnsi="Arial" w:cs="Arial"/>
          <w:color w:val="444444"/>
          <w:sz w:val="16"/>
          <w:szCs w:val="16"/>
          <w:lang w:val="en-US" w:eastAsia="ru-RU"/>
        </w:rPr>
        <w:t>ru</w:t>
      </w: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</w:t>
      </w:r>
    </w:p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о строительстве  многоквартирного дома  по адресу:</w:t>
      </w:r>
    </w:p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Калининградская область, городской округ «Город Калининград», улица Старшины Дадаева</w:t>
      </w:r>
    </w:p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(в соответствии с Федеральным законом № 214-ФЗ от 30.12.2004 года).</w:t>
      </w:r>
    </w:p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:rsidR="00534D6A" w:rsidRPr="00534D6A" w:rsidRDefault="00534D6A" w:rsidP="00534D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Информация о застройщике.</w:t>
      </w:r>
    </w:p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</w:t>
      </w:r>
    </w:p>
    <w:tbl>
      <w:tblPr>
        <w:tblW w:w="0" w:type="auto"/>
        <w:tblInd w:w="1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0"/>
        <w:gridCol w:w="7220"/>
      </w:tblGrid>
      <w:tr w:rsidR="00534D6A" w:rsidRPr="00534D6A" w:rsidTr="00534D6A">
        <w:trPr>
          <w:trHeight w:val="4768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1.1.  Фирменное наименование и местонахождение юридического лица.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Полное: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Общество с ограниченной ответственностью «Дельта-строй».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Юридический адрес: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236001, г. Калининград, Московский проспект, 201.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Фактический адрес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: 236001, г.Калининград, Московский проспект, 201.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Режим работы: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понедельник-пятница с 9-00 до 18-00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                     Обеденный перерыв с 13-00 до 14-00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                          суббота, воскресенье – выходной.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Телефоны: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58-11-11 – генеральный  директор,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                    58-11-11, 75-82-22 – отдел недвижимости,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                    58-16-19 – главный бухгалтер.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lang w:eastAsia="ru-RU"/>
              </w:rPr>
              <w:t>ИНН</w:t>
            </w:r>
            <w:r w:rsidRPr="00534D6A">
              <w:rPr>
                <w:rFonts w:ascii="Arial" w:eastAsia="Times New Roman" w:hAnsi="Arial" w:cs="Arial"/>
                <w:color w:val="444444"/>
                <w:lang w:eastAsia="ru-RU"/>
              </w:rPr>
              <w:t>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3906238921</w:t>
            </w:r>
            <w:r w:rsidRPr="00534D6A">
              <w:rPr>
                <w:rFonts w:ascii="Arial" w:eastAsia="Times New Roman" w:hAnsi="Arial" w:cs="Arial"/>
                <w:color w:val="444444"/>
                <w:lang w:eastAsia="ru-RU"/>
              </w:rPr>
              <w:t>, </w:t>
            </w:r>
            <w:r w:rsidRPr="00534D6A">
              <w:rPr>
                <w:rFonts w:ascii="Arial" w:eastAsia="Times New Roman" w:hAnsi="Arial" w:cs="Arial"/>
                <w:b/>
                <w:bCs/>
                <w:color w:val="444444"/>
                <w:lang w:eastAsia="ru-RU"/>
              </w:rPr>
              <w:t>КПП</w:t>
            </w:r>
            <w:r w:rsidRPr="00534D6A">
              <w:rPr>
                <w:rFonts w:ascii="Arial" w:eastAsia="Times New Roman" w:hAnsi="Arial" w:cs="Arial"/>
                <w:color w:val="444444"/>
                <w:lang w:eastAsia="ru-RU"/>
              </w:rPr>
              <w:t>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390601001</w:t>
            </w:r>
            <w:r w:rsidRPr="00534D6A">
              <w:rPr>
                <w:rFonts w:ascii="Arial" w:eastAsia="Times New Roman" w:hAnsi="Arial" w:cs="Arial"/>
                <w:color w:val="444444"/>
                <w:lang w:eastAsia="ru-RU"/>
              </w:rPr>
              <w:t>,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lang w:eastAsia="ru-RU"/>
              </w:rPr>
              <w:t>Банк:</w:t>
            </w:r>
            <w:r w:rsidRPr="00534D6A">
              <w:rPr>
                <w:rFonts w:ascii="Arial" w:eastAsia="Times New Roman" w:hAnsi="Arial" w:cs="Arial"/>
                <w:color w:val="444444"/>
                <w:lang w:eastAsia="ru-RU"/>
              </w:rPr>
              <w:t>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Филиал №7806 ВТБ 24 (ЗАО)</w:t>
            </w:r>
            <w:r w:rsidRPr="00534D6A">
              <w:rPr>
                <w:rFonts w:ascii="Arial" w:eastAsia="Times New Roman" w:hAnsi="Arial" w:cs="Arial"/>
                <w:color w:val="444444"/>
                <w:lang w:eastAsia="ru-RU"/>
              </w:rPr>
              <w:t>,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lang w:eastAsia="ru-RU"/>
              </w:rPr>
              <w:t> г.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Калининград</w:t>
            </w:r>
            <w:r w:rsidRPr="00534D6A">
              <w:rPr>
                <w:rFonts w:ascii="Arial" w:eastAsia="Times New Roman" w:hAnsi="Arial" w:cs="Arial"/>
                <w:color w:val="444444"/>
                <w:lang w:eastAsia="ru-RU"/>
              </w:rPr>
              <w:t>,  БИК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044030811</w:t>
            </w:r>
            <w:r w:rsidRPr="00534D6A">
              <w:rPr>
                <w:rFonts w:ascii="Arial" w:eastAsia="Times New Roman" w:hAnsi="Arial" w:cs="Arial"/>
                <w:color w:val="444444"/>
                <w:lang w:eastAsia="ru-RU"/>
              </w:rPr>
              <w:t>,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lang w:eastAsia="ru-RU"/>
              </w:rPr>
              <w:t>Р/сч.</w:t>
            </w:r>
            <w:r w:rsidRPr="00534D6A">
              <w:rPr>
                <w:rFonts w:ascii="Arial" w:eastAsia="Times New Roman" w:hAnsi="Arial" w:cs="Arial"/>
                <w:color w:val="444444"/>
                <w:lang w:eastAsia="ru-RU"/>
              </w:rPr>
              <w:t>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40702810613380004247    </w:t>
            </w: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Кор/сч.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30101810300000000811</w:t>
            </w:r>
          </w:p>
        </w:tc>
      </w:tr>
      <w:tr w:rsidR="00534D6A" w:rsidRPr="00534D6A" w:rsidTr="00534D6A">
        <w:trPr>
          <w:trHeight w:val="2638"/>
        </w:trPr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1.2.  Сведения о государственной регистрации.</w:t>
            </w:r>
          </w:p>
        </w:tc>
        <w:tc>
          <w:tcPr>
            <w:tcW w:w="7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1.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Свидетельство о государственной регистрации юридического лица серия 39 № 001430251 выдано: 03 июня 2011 года Межрайонной инспекцией Федеральной налоговой службы №1 по Калининградской области.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2. 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Свидетельство о постановке на учет в налоговом органе юридического лица от 03.06.2011 года. ИНН 3906238920, КПП 390601001.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3.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 Свидетельство о внесении записи в Единый государственный реестр юридических лиц о юридическом лице серия 39 № 001489919.   Основной  государственный регистрационный номер 1113926019789 выдано Межрайонной инспекцией Федеральной налоговой службы №1 по Калининградской области   07 февраля 2012 года.</w:t>
            </w:r>
          </w:p>
        </w:tc>
      </w:tr>
      <w:tr w:rsidR="00534D6A" w:rsidRPr="00534D6A" w:rsidTr="00534D6A">
        <w:trPr>
          <w:trHeight w:val="1198"/>
        </w:trPr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1.3.  Сведения об учредителях юридического лица</w:t>
            </w:r>
          </w:p>
        </w:tc>
        <w:tc>
          <w:tcPr>
            <w:tcW w:w="72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Пермякова Юлия Валерьевна – ½ (одна вторая) доля размера Уставного капитала Общества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Росташвили Иван Гиуливич – ½ (одна вторая) доля размера Уставного капитала Общества</w:t>
            </w:r>
          </w:p>
        </w:tc>
      </w:tr>
      <w:tr w:rsidR="00534D6A" w:rsidRPr="00534D6A" w:rsidTr="00534D6A">
        <w:trPr>
          <w:trHeight w:val="6849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lastRenderedPageBreak/>
              <w:t>1.4.  Сведения об участии в строительстве объектов недвижимости.</w:t>
            </w:r>
          </w:p>
        </w:tc>
        <w:tc>
          <w:tcPr>
            <w:tcW w:w="72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ООО «Дельта-строй» является застройщиком объекта: «Жилой многоквартирный дом со  встроенными торговыми и административными помещениями в цокольном этаже по адресу: Калининградская область, гор.Калининград, ул.Старшины Дадаева.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Результаты строительства: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5-ти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этажный шестисекционный 114-и квартирный жилой дом со встроенными торговыми и административными помещениями в цокольном этаже по адресу: г. Калининград, ул. Толбухина, дом №6. Дом построен, сдан, заселен. Срок ввода в эксплуатацию в соответствии с проектной документацией – 4 квартал 2007 года.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5-ти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этажный пятисекционный 98-ми квартирный жилой дом со встроенными торговыми и административными помещениями в цокольном этаже по адресу: г. Калининград, ул. Балашовская, дом №3 (2-я очередь строительства). Срок ввода в эксплуатацию в соответствии с проектной документацией – 1 квартал 2008 года;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5-и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этажный шестисекционный 119-и квартирный жилой дом со встроенными торговыми и административными помещениями в цокольном этаже по ул. Толбухина – Миклухо-Маклая – Баженова – Тамбовская  в городе Калининграде (3-я очередь строительства). Срок ввода в эксплуатацию в соответствии с проектной документацией – 3 квартал 2008 года;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6-ти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этажный пятисекционный 93-х квартирный жилой дом со встроенными торговыми и административными помещениями в цокольном этаже по ул. Толбухина – Миклухо-Маклая – Баженова – Тамбовская  в городе Калининграде (4-я очередь строительства).          Срок ввода в эксплуатацию – I квартал 2011 года.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Строительство</w:t>
            </w: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 5- и 6-ти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этажного 60-ти квартирного жилого дома, состоящего из трех блок-секций, расположенного в квартале улиц Цирковая – В.Дубинина – сержанта Мишина в Октябрьском районе  города Калининграда. Срок ввода в эксплуатацию 28 декабря 2011 года.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Строительство </w:t>
            </w:r>
            <w:r w:rsidRPr="00534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5-ти – 7- ми</w:t>
            </w: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(переменной этажности), этажного 65-ти квартирного жилого дома со встроенными торгово-офисными помещениями и помещениями соцкультбыта для обслуживания населения по улице Донская, 6А в гор. Пионерский.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Срок ввода в эксплуатацию – до 01.06.2013 года. 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534D6A" w:rsidRPr="00534D6A" w:rsidTr="00534D6A">
        <w:trPr>
          <w:trHeight w:val="1864"/>
        </w:trPr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1.5.  Сведения о величине собственных денежных средств, финансовом результате текущего года, размере кредиторской задолженности</w:t>
            </w:r>
          </w:p>
        </w:tc>
        <w:tc>
          <w:tcPr>
            <w:tcW w:w="7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Величина собственных денежных средств на 30.09.2012г.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–  </w:t>
            </w:r>
            <w:r w:rsidRPr="00534D6A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0 рублей.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Финансовый результат на 30.09.2012 год –  убыток 131 руб.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Размер кредиторской задолженности на 30.09.2012 год – 9 рублей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Размер дебиторской задолженности на 30.09.2012 год -4339 рублей</w:t>
            </w:r>
          </w:p>
        </w:tc>
      </w:tr>
    </w:tbl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</w:t>
      </w:r>
    </w:p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2.  Информация о проекте строительства.</w:t>
      </w:r>
    </w:p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3"/>
        <w:gridCol w:w="7099"/>
      </w:tblGrid>
      <w:tr w:rsidR="00534D6A" w:rsidRPr="00534D6A" w:rsidTr="00534D6A">
        <w:trPr>
          <w:trHeight w:val="2275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2.1.  Цель проекта строительства, этапы его реализации, заключения по проекту строительства</w:t>
            </w:r>
          </w:p>
        </w:tc>
        <w:tc>
          <w:tcPr>
            <w:tcW w:w="7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Целью проекта 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является</w:t>
            </w: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 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строительство</w:t>
            </w: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многоквартирного дома  по ул. Старшины Дадаева  в городе Калининграде. Проектная документация выполнена  ООО «Архитектурная мастерская «Квадр» и утверждена в установленном порядке. Строительство будет осуществляться без разделения на этапы. Предполагаемый срок получения разрешения на ввод в эксплуатацию - </w:t>
            </w: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II квартал 2015 года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. По проекту  имеются следующие заключения:</w:t>
            </w:r>
          </w:p>
          <w:p w:rsidR="00534D6A" w:rsidRPr="00534D6A" w:rsidRDefault="00534D6A" w:rsidP="00534D6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Times New Roman CYR" w:eastAsia="Times New Roman" w:hAnsi="Times New Roman CYR" w:cs="Times New Roman CYR"/>
                <w:color w:val="444444"/>
                <w:sz w:val="16"/>
                <w:szCs w:val="16"/>
                <w:lang w:eastAsia="ru-RU"/>
              </w:rPr>
              <w:t>Заключение государственной экспертизы № 39-1-4-0412-12 от 17 декабря 2012 года</w:t>
            </w:r>
          </w:p>
          <w:p w:rsidR="00534D6A" w:rsidRPr="00534D6A" w:rsidRDefault="00534D6A" w:rsidP="00534D6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Times New Roman CYR" w:eastAsia="Times New Roman" w:hAnsi="Times New Roman CYR" w:cs="Times New Roman CYR"/>
                <w:color w:val="444444"/>
                <w:sz w:val="16"/>
                <w:szCs w:val="16"/>
                <w:lang w:eastAsia="ru-RU"/>
              </w:rPr>
              <w:t>Заключение о мероприятиях по инженерной подготовке территории земельного участка, предоставленного для размещения объекта капитального строительства (раздел «Осушение») от 10.01.12 №62</w:t>
            </w:r>
          </w:p>
        </w:tc>
      </w:tr>
    </w:tbl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8"/>
        <w:gridCol w:w="7147"/>
      </w:tblGrid>
      <w:tr w:rsidR="00534D6A" w:rsidRPr="00534D6A" w:rsidTr="00534D6A">
        <w:trPr>
          <w:trHeight w:val="666"/>
        </w:trPr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lastRenderedPageBreak/>
              <w:t>2.2.  Разрешение на строительство</w:t>
            </w:r>
          </w:p>
        </w:tc>
        <w:tc>
          <w:tcPr>
            <w:tcW w:w="714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Строительство объекта осуществляется на основании Разрешения на строительство №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val="en-US" w:eastAsia="ru-RU"/>
              </w:rPr>
              <w:t>RU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39315000-012/2013 от 25.01.2013 года.</w:t>
            </w:r>
          </w:p>
        </w:tc>
      </w:tr>
      <w:tr w:rsidR="00534D6A" w:rsidRPr="00534D6A" w:rsidTr="00534D6A">
        <w:trPr>
          <w:trHeight w:val="4877"/>
        </w:trPr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2.3.  Права на земельный участок, границы и площадь земельного участка, элементы благоустройства</w:t>
            </w:r>
          </w:p>
        </w:tc>
        <w:tc>
          <w:tcPr>
            <w:tcW w:w="71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Собственником земельного участка с кадастровым номером (КН): 39:15:131929:17 площадью 3405 кв. м по ул. Старшины Дадаева в городе Калининграде является Общество с ограниченной ответственностью «Дельта-строй» на основании свидетельства о государственной регистрации права № 39-АБ 034211, зарегистрированного в  Межрайонной инспекции Федеральной налоговой службы №1 от 03.06.2011 года.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Границами участка служат: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  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с севера –  ул. Старшины Дадаева; 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  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с юга – территория технического здания;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  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с востока – ул. Еловая Аллея;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 с запада и юго-запада – придомовые территории многоэтажных жилых домов.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Благоустройство территории предусматривает создание наиболее удобных условий для жизни и отдыха жителей района застройки и решается в общем комплексе существующей застройки. Предусматривается устройство подъездных путей к строящемуся дому, трех автостоянок по 10 машиномест каждая, устройство пешеходных тротуаров и дорожек с площадками для отдыха. Территория ограждается металлическим ограждением высотой 1,5м.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Озеленение решается посадкой кустарников и деревьев лиственных и хвойных пород, устройством газонов.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534D6A" w:rsidRPr="00534D6A" w:rsidTr="00534D6A">
        <w:trPr>
          <w:trHeight w:val="6159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2.4.Местоположение и описание объекта</w:t>
            </w:r>
          </w:p>
        </w:tc>
        <w:tc>
          <w:tcPr>
            <w:tcW w:w="71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Многоквартирный дом с цокольным этажом. Кровля – плоская. Здание прямоугольное в плане.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цокольном этаже первой и второй секции размещены технические помещения, в цокольном этаже третьей секции размещены офисные помещения.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Высота жилых этажей 3,0 м. Высота помещений цоколя в секциях №№ 1,2 принята 2,2 м, высота офисных помещений – 3,0 м.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Секции изолированы друг от друга и имеют самостоятельные выходы из здания. Жилые помещения квартир имеют южную и северную ориентацию. Каждая квартира имеет прихожую, кухню площадью не менее 9,0 м</w:t>
            </w: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2 </w:t>
            </w: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совмещенный санузел.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Сообщение между этажами осуществляется по лестничным клеткам.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каждой секции дома расположен лестнично-лифтовой узел с лифтом грузоподъемностью 1000 кг с размерами кабины 1100х2100 мм.</w:t>
            </w: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 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Многоквартирный дом запроектирован 10-ти-этажным.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первого по девятый этажи располагаются одно-, двухкомнатные квартиры.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площадь квартир                        5432,76 м²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Жилая площадь квартир                        5189,55 м²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Общая площадь административных помещений  163,86 м²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Ограждающие конструкции здания выполнены: стены наружные, внутренние – силикатный кирпич марки М150. Крыша – плоская, с внутренним организованным водостоком. Окна – однокамерные стеклопакеты в металлопластиковых переплетах. Кровля: мягкая из рулонного покрытия типа «Унифлекс». В здании будет смонтировано инженерное оборудование, а именно: системы электроснабжения, газоснабжения, водоснабжения и канализации, отопления, вентиляции, слаботочные сети связи для комфортной и безопасной жизни жильцов.</w:t>
            </w:r>
          </w:p>
        </w:tc>
      </w:tr>
      <w:tr w:rsidR="00534D6A" w:rsidRPr="00534D6A" w:rsidTr="00534D6A">
        <w:trPr>
          <w:trHeight w:val="6184"/>
        </w:trPr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lastRenderedPageBreak/>
              <w:t>2.5.  Количество самостоятельных частей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firstLine="708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1.</w:t>
            </w:r>
            <w:r w:rsidRPr="00534D6A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В жилом доме предусмотрены </w:t>
            </w: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108 квартир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: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однокомнатные квартиры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– </w:t>
            </w: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54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, в том числе площадью: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36,82 м² – 6 шт.,  в т.ч. кухня – 9,66 м², жилая – 15,39 м²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38,78 м² – 18 шт., в т.ч. кухня  –9,66 м², жилая – 15,39 м²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41,27 м² – 30 шт., в т.ч. кухня  – 9,99 м², жилая – 16,43 м²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двухкомнатные квартиры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–  </w:t>
            </w: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54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, в том числе площадью: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58,32 м² – 12 шт., в т.ч. кухня – 10,43 м², жилая – 31,91 м².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59,12м² – 8 шт., в т.ч. кухня – 10,73 м², жилая – 31,91 м².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63,15 м² – 4 шт., в т.ч. кухня – 10,73 м², жилая – 31,91 м².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60,58 м² – 15 шт., в т.ч. кухня  – 10,80 м², жилая – 32,82 м²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61,43 м² – 10 шт., в т.ч. кухня  – 11,11 м², жилая – 32,82м²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65,46 м² –  5 шт., в т.ч. кухня  – 11,11 м², жилая – 32,82 м²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В жилом доме предусмотрены </w:t>
            </w: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офисные помещения -2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, в том числе площадью: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37,04 м² – 1 шт.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40,17 м² – 1 шт.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      </w:t>
            </w:r>
            <w:r w:rsidRPr="00534D6A">
              <w:rPr>
                <w:rFonts w:ascii="Arial" w:eastAsia="Times New Roman" w:hAnsi="Arial" w:cs="Arial"/>
                <w:b/>
                <w:bCs/>
                <w:color w:val="444444"/>
                <w:sz w:val="16"/>
                <w:szCs w:val="16"/>
                <w:lang w:eastAsia="ru-RU"/>
              </w:rPr>
              <w:t>цокольный этаж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– подсобные помещения, офисные помещения, технические помещения. Количество офисных помещений в цокольном этаже – 2, площадью 183,86 кв.м.</w:t>
            </w:r>
          </w:p>
        </w:tc>
      </w:tr>
      <w:tr w:rsidR="00534D6A" w:rsidRPr="00534D6A" w:rsidTr="00534D6A">
        <w:trPr>
          <w:trHeight w:val="1246"/>
        </w:trPr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2.6.Функциональное назначение нежилых помещений не входящих в состав общего имущества.</w:t>
            </w:r>
          </w:p>
        </w:tc>
        <w:tc>
          <w:tcPr>
            <w:tcW w:w="7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Торговые и  административные помещения в цокольном этаже –   183,86 квадратных метра.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Назначение помещений:   молодежный клуб, клуб пожилых людей, фотография, парикмахерская, часовая мастерская, магазины, мастерская по изготовлению ключей, ремонту зонтов и сумок,  офисные помещения.</w:t>
            </w:r>
          </w:p>
        </w:tc>
      </w:tr>
      <w:tr w:rsidR="00534D6A" w:rsidRPr="00534D6A" w:rsidTr="00534D6A">
        <w:trPr>
          <w:trHeight w:val="1585"/>
        </w:trPr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2.7. Состав имущества, которое будет находиться в общей долевой собственности участников строительства.</w:t>
            </w:r>
          </w:p>
        </w:tc>
        <w:tc>
          <w:tcPr>
            <w:tcW w:w="71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В общей долевой собственности участников будут находиться помещения общего пользования (лестничные площадки, лестницы, коридоры, а также крыши, ограждающие несущие и не несущие конструкции данного дома, земельный участок на котором расположен данный дом с элементами озеленения и благоустройства, помещения, в которых расположены оборудование и системы инженерного обеспечения здания). Доля каждого собственника в общем имуществе определяется пропорционально общей площади помещений, приобретаемых в собственность. Фактическая доля будет определена после изготовления технического паспорта здания.</w:t>
            </w:r>
          </w:p>
        </w:tc>
      </w:tr>
      <w:tr w:rsidR="00534D6A" w:rsidRPr="00534D6A" w:rsidTr="00534D6A">
        <w:trPr>
          <w:trHeight w:val="4756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lastRenderedPageBreak/>
              <w:t>2.8.  Ввод объекта в эксплуатацию, перечень органов государственной власти участвующих в приемке объекта недвижимости.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2.8.1. Орган, уполномоченный в соответствии с законодательством о градостроительной деятельности на выдачу разрешения на ввод эксплуатацию создаваемого жилого дома.</w:t>
            </w:r>
          </w:p>
        </w:tc>
        <w:tc>
          <w:tcPr>
            <w:tcW w:w="71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Предполагаемый срок получения разрешения на ввод объекта в эксплуатацию – II квартал 2015 года.</w:t>
            </w:r>
            <w:r w:rsidRPr="00534D6A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Срок действия разрешения на строительство до 17 апреля 2014 года. Приемка объекта в эксплуатацию будет осуществляться в соответствии с действующим федеральным и региональным законодательством  с участием представителей органов государственного надзора и организаций, эксплуатирующих инженерно-технических коммуникаций:</w:t>
            </w:r>
          </w:p>
          <w:p w:rsidR="00534D6A" w:rsidRPr="00534D6A" w:rsidRDefault="00534D6A" w:rsidP="00534D6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Представители органов государственного санитарно-эпидемиологического надзора, экологического надзора, государственного пожарного надзора, государственного архитектурно-строительного надзора</w:t>
            </w:r>
          </w:p>
          <w:p w:rsidR="00534D6A" w:rsidRPr="00534D6A" w:rsidRDefault="00534D6A" w:rsidP="00534D6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Представитель администрации гор. Калининграда.</w:t>
            </w:r>
          </w:p>
          <w:p w:rsidR="00534D6A" w:rsidRPr="00534D6A" w:rsidRDefault="00534D6A" w:rsidP="00534D6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Другие заинтересованные органы и организации, согласно распоряжению мэра города Калининграда, Калининградской области о назначении Госкомиссии.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Комитет архитектуры и градостроительства.</w:t>
            </w:r>
          </w:p>
        </w:tc>
      </w:tr>
      <w:tr w:rsidR="00534D6A" w:rsidRPr="00534D6A" w:rsidTr="00534D6A">
        <w:trPr>
          <w:trHeight w:val="1331"/>
        </w:trPr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2.9.  Возможные финансовые и прочие риски при осуществлении проекта строительства.</w:t>
            </w:r>
          </w:p>
        </w:tc>
        <w:tc>
          <w:tcPr>
            <w:tcW w:w="7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Финансовые и прочие риски исключены. Добровольное страхование рисков не предусмотрено.</w:t>
            </w:r>
          </w:p>
        </w:tc>
      </w:tr>
      <w:tr w:rsidR="00534D6A" w:rsidRPr="00534D6A" w:rsidTr="00534D6A">
        <w:trPr>
          <w:trHeight w:val="678"/>
        </w:trPr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2.10.Планируемая стоимость строительства</w:t>
            </w:r>
          </w:p>
        </w:tc>
        <w:tc>
          <w:tcPr>
            <w:tcW w:w="71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Планируемая стоимость строительства дома </w:t>
            </w: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– 285</w:t>
            </w: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млн. рублей</w:t>
            </w:r>
          </w:p>
        </w:tc>
      </w:tr>
      <w:tr w:rsidR="00534D6A" w:rsidRPr="00534D6A" w:rsidTr="00534D6A">
        <w:trPr>
          <w:trHeight w:val="2227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2.11.  Перечень организаций, выполняющих основные строительно-монтажные работы.</w:t>
            </w:r>
          </w:p>
        </w:tc>
        <w:tc>
          <w:tcPr>
            <w:tcW w:w="71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Генеральная подрядная организация – ООО «Балтийская строительная группа».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Субподрядные организации: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 ООО «Энергострой»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 ООО «МК-строй»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Целью совместной деятельности сторон является строительство Объекта и распределение прав на него.</w:t>
            </w:r>
          </w:p>
        </w:tc>
      </w:tr>
      <w:tr w:rsidR="00534D6A" w:rsidRPr="00534D6A" w:rsidTr="00534D6A">
        <w:trPr>
          <w:trHeight w:val="1016"/>
        </w:trPr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2.12.Обеспечение обязательств по договору</w:t>
            </w:r>
          </w:p>
        </w:tc>
        <w:tc>
          <w:tcPr>
            <w:tcW w:w="7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Залогом в порядке предусмотренном статьями 13-15 Федерального закона от 18.07.2006 года № 111-ФЗ.</w:t>
            </w:r>
          </w:p>
          <w:p w:rsidR="00534D6A" w:rsidRPr="00534D6A" w:rsidRDefault="00534D6A" w:rsidP="00534D6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</w:t>
            </w:r>
          </w:p>
        </w:tc>
      </w:tr>
      <w:tr w:rsidR="00534D6A" w:rsidRPr="00534D6A" w:rsidTr="00534D6A">
        <w:trPr>
          <w:trHeight w:val="1041"/>
        </w:trPr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2.13. Иные договоры и сделки, на основании которых привлекаются денежные средства</w:t>
            </w:r>
          </w:p>
        </w:tc>
        <w:tc>
          <w:tcPr>
            <w:tcW w:w="7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D6A" w:rsidRPr="00534D6A" w:rsidRDefault="00534D6A" w:rsidP="00534D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534D6A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Договор займа № 01 от 23.06.2011 года.</w:t>
            </w:r>
          </w:p>
        </w:tc>
      </w:tr>
    </w:tbl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 </w:t>
      </w:r>
    </w:p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Генеральный директор</w:t>
      </w:r>
    </w:p>
    <w:p w:rsidR="00534D6A" w:rsidRPr="00534D6A" w:rsidRDefault="00534D6A" w:rsidP="00534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534D6A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ООО «Дельта-строй»                                                                      Д.Ю.Корякин</w:t>
      </w:r>
    </w:p>
    <w:p w:rsidR="00C559C8" w:rsidRDefault="00C559C8"/>
    <w:sectPr w:rsidR="00C559C8" w:rsidSect="00C5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C7548"/>
    <w:multiLevelType w:val="multilevel"/>
    <w:tmpl w:val="175C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743E2"/>
    <w:multiLevelType w:val="multilevel"/>
    <w:tmpl w:val="E05E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7A5A6A"/>
    <w:multiLevelType w:val="multilevel"/>
    <w:tmpl w:val="E4F89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534D6A"/>
    <w:rsid w:val="00534D6A"/>
    <w:rsid w:val="00C5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1868</Words>
  <Characters>10650</Characters>
  <Application>Microsoft Office Word</Application>
  <DocSecurity>0</DocSecurity>
  <Lines>88</Lines>
  <Paragraphs>24</Paragraphs>
  <ScaleCrop>false</ScaleCrop>
  <Company/>
  <LinksUpToDate>false</LinksUpToDate>
  <CharactersWithSpaces>12494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2018-06-06T13:01:00Z</dcterms:created>
  <dcterms:modified xsi:type="dcterms:W3CDTF">2018-06-06T13:02:00Z</dcterms:modified>
</cp:coreProperties>
</file>